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spacing w:before="0" w:after="240" w:line="336" w:lineRule="auto"/>
        <w:jc w:val="center"/>
      </w:pPr>
      <w:r>
        <w:rPr>
          <w:rFonts w:ascii="Noto Sans CJK SC" w:hAnsi="Noto Sans CJK SC" w:eastAsia="Noto Sans CJK SC"/>
          <w:b/>
          <w:color w:val="1F4E78"/>
          <w:sz w:val="40"/>
        </w:rPr>
        <w:t>AI 企业知识库问答系统</w:t>
      </w:r>
    </w:p>
    <w:p>
      <w:pPr>
        <w:spacing w:before="0" w:after="200" w:line="336" w:lineRule="auto"/>
        <w:jc w:val="center"/>
      </w:pPr>
      <w:r>
        <w:rPr>
          <w:rFonts w:ascii="Noto Sans CJK SC" w:hAnsi="Noto Sans CJK SC" w:eastAsia="Noto Sans CJK SC"/>
          <w:b/>
          <w:color w:val="1F4E78"/>
          <w:sz w:val="52"/>
        </w:rPr>
        <w:t>项目验收标准（UAT）</w:t>
      </w:r>
    </w:p>
    <w:p>
      <w:pPr>
        <w:spacing w:before="0" w:after="560" w:line="336" w:lineRule="auto"/>
        <w:jc w:val="center"/>
      </w:pPr>
      <w:r>
        <w:rPr>
          <w:rFonts w:ascii="Noto Sans CJK SC" w:hAnsi="Noto Sans CJK SC" w:eastAsia="Noto Sans CJK SC"/>
          <w:b w:val="0"/>
          <w:color w:val="666666"/>
          <w:sz w:val="28"/>
        </w:rPr>
        <w:t>User Acceptance Test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cantSplit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D9EAF7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文档编号</w:t>
            </w:r>
          </w:p>
        </w:tc>
        <w:tc>
          <w:tcPr>
            <w:tcW w:type="dxa" w:w="652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  <w:t>09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D9EAF7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版本</w:t>
            </w:r>
          </w:p>
        </w:tc>
        <w:tc>
          <w:tcPr>
            <w:tcW w:type="dxa" w:w="652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  <w:t>V1.0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D9EAF7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项目名称</w:t>
            </w:r>
          </w:p>
        </w:tc>
        <w:tc>
          <w:tcPr>
            <w:tcW w:type="dxa" w:w="652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  <w:t>AI 企业知识库问答系统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D9EAF7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文档类型</w:t>
            </w:r>
          </w:p>
        </w:tc>
        <w:tc>
          <w:tcPr>
            <w:tcW w:type="dxa" w:w="652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  <w:t>User Acceptance Test（用户验收标准）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D9EAF7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依据文档</w:t>
            </w:r>
          </w:p>
        </w:tc>
        <w:tc>
          <w:tcPr>
            <w:tcW w:type="dxa" w:w="652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  <w:t>PRD V1.0、SRS V1.0、测试用例 V1.0</w:t>
            </w:r>
          </w:p>
        </w:tc>
      </w:tr>
    </w:tbl>
    <w:p>
      <w:pPr>
        <w:spacing w:before="0" w:after="600" w:line="336" w:lineRule="auto"/>
      </w:pPr>
    </w:p>
    <w:p>
      <w:pPr>
        <w:spacing w:before="0" w:after="120" w:line="336" w:lineRule="auto"/>
        <w:jc w:val="center"/>
      </w:pPr>
      <w:r>
        <w:rPr>
          <w:rFonts w:ascii="Noto Sans CJK SC" w:hAnsi="Noto Sans CJK SC" w:eastAsia="Noto Sans CJK SC"/>
          <w:b/>
          <w:color w:val="666666"/>
          <w:sz w:val="22"/>
        </w:rPr>
        <w:t>正式交付文件</w:t>
      </w:r>
    </w:p>
    <w:p>
      <w:pPr>
        <w:spacing w:before="0" w:after="80" w:line="336" w:lineRule="auto"/>
        <w:jc w:val="center"/>
      </w:pPr>
      <w:r>
        <w:rPr>
          <w:rFonts w:ascii="Noto Sans CJK SC" w:hAnsi="Noto Sans CJK SC" w:eastAsia="Noto Sans CJK SC"/>
          <w:b w:val="0"/>
          <w:color w:val="666666"/>
          <w:sz w:val="20"/>
        </w:rPr>
        <w:t>编制日期：2026年7月</w:t>
      </w:r>
    </w:p>
    <w:p>
      <w:r>
        <w:rPr>
          <w:rFonts w:ascii="Noto Sans CJK SC" w:hAnsi="Noto Sans CJK SC" w:eastAsia="Noto Sans CJK SC"/>
          <w:sz w:val="21"/>
        </w:rPr>
        <w:br w:type="page"/>
      </w: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文档信息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cantSplit/>
          <w:tblHeader w:val="true"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25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内容</w:t>
            </w:r>
          </w:p>
        </w:tc>
      </w:tr>
      <w:tr>
        <w:trPr>
          <w:cantSplit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文档名称</w:t>
            </w:r>
          </w:p>
        </w:tc>
        <w:tc>
          <w:tcPr>
            <w:tcW w:type="dxa" w:w="725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《09-AI知识库系统项目验收标准（UAT）》</w:t>
            </w:r>
          </w:p>
        </w:tc>
      </w:tr>
      <w:tr>
        <w:trPr>
          <w:cantSplit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版本</w:t>
            </w:r>
          </w:p>
        </w:tc>
        <w:tc>
          <w:tcPr>
            <w:tcW w:type="dxa" w:w="725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V1.0</w:t>
            </w:r>
          </w:p>
        </w:tc>
      </w:tr>
      <w:tr>
        <w:trPr>
          <w:cantSplit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项目名称</w:t>
            </w:r>
          </w:p>
        </w:tc>
        <w:tc>
          <w:tcPr>
            <w:tcW w:type="dxa" w:w="725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AI 企业知识库问答系统</w:t>
            </w:r>
          </w:p>
        </w:tc>
      </w:tr>
      <w:tr>
        <w:trPr>
          <w:cantSplit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文档类型</w:t>
            </w:r>
          </w:p>
        </w:tc>
        <w:tc>
          <w:tcPr>
            <w:tcW w:type="dxa" w:w="725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User Acceptance Test（用户验收标准）</w:t>
            </w:r>
          </w:p>
        </w:tc>
      </w:tr>
      <w:tr>
        <w:trPr>
          <w:cantSplit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依据文档</w:t>
            </w:r>
          </w:p>
        </w:tc>
        <w:tc>
          <w:tcPr>
            <w:tcW w:type="dxa" w:w="725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PRD V1.0、SRS V1.0、测试用例 V1.0</w:t>
            </w:r>
          </w:p>
        </w:tc>
      </w:tr>
      <w:tr>
        <w:trPr>
          <w:cantSplit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适用阶段</w:t>
            </w:r>
          </w:p>
        </w:tc>
        <w:tc>
          <w:tcPr>
            <w:tcW w:type="dxa" w:w="725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项目最终验收及上线前确认</w:t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版本记录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0"/>
        <w:gridCol w:w="2380"/>
        <w:gridCol w:w="2380"/>
        <w:gridCol w:w="2380"/>
      </w:tblGrid>
      <w:tr>
        <w:trPr>
          <w:cantSplit/>
          <w:tblHeader w:val="true"/>
        </w:trPr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版本</w:t>
            </w:r>
          </w:p>
        </w:tc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日期</w:t>
            </w:r>
          </w:p>
        </w:tc>
        <w:tc>
          <w:tcPr>
            <w:tcW w:type="dxa" w:w="48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编制/修订说明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编制人</w:t>
            </w:r>
          </w:p>
        </w:tc>
      </w:tr>
      <w:tr>
        <w:trPr>
          <w:cantSplit/>
        </w:trPr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V1.0</w:t>
            </w:r>
          </w:p>
        </w:tc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2026年7月</w:t>
            </w:r>
          </w:p>
        </w:tc>
        <w:tc>
          <w:tcPr>
            <w:tcW w:type="dxa" w:w="48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初版，作为项目最终验收依据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验收结果说明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各验收项由验收参与方现场验证，并在“验收结果”栏勾选“通过”或“不通过”；存在问题时，应在“备注”栏记录缺陷编号、处理意见或双方确认事项。</w:t>
      </w: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目录</w:t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第一章 文档说明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第二章 验收环境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第三章 用户端验收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第四章 AI 能力验收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第五章 管理后台验收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第六章 聊天记录验收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第七章 数据统计验收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第八章 权限验收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第九章 异常处理验收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第十章 性能验收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第十一章 安全验收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第十二章 上线验收清单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第十三章 缺陷验收标准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第十四章 项目交付清单</w:t>
      </w:r>
      <w:r>
        <w:rPr>
          <w:rFonts w:ascii="Noto Sans CJK SC" w:hAnsi="Noto Sans CJK SC" w:eastAsia="Noto Sans CJK SC"/>
          <w:sz w:val="21"/>
        </w:rPr>
        <w:tab/>
      </w:r>
    </w:p>
    <w:p>
      <w:pPr>
        <w:tabs>
          <w:tab w:pos="9071" w:val="right" w:leader="dot"/>
        </w:tabs>
        <w:spacing w:after="80"/>
        <w:ind w:left="283" w:right="283"/>
      </w:pPr>
      <w:r>
        <w:rPr>
          <w:rFonts w:ascii="Noto Sans CJK SC" w:hAnsi="Noto Sans CJK SC" w:eastAsia="Noto Sans CJK SC"/>
          <w:sz w:val="21"/>
        </w:rPr>
        <w:t>第十五章 验收签字</w:t>
      </w:r>
      <w:r>
        <w:rPr>
          <w:rFonts w:ascii="Noto Sans CJK SC" w:hAnsi="Noto Sans CJK SC" w:eastAsia="Noto Sans CJK SC"/>
          <w:sz w:val="21"/>
        </w:rPr>
        <w:tab/>
      </w:r>
    </w:p>
    <w:p>
      <w:r>
        <w:rPr>
          <w:rFonts w:ascii="Noto Sans CJK SC" w:hAnsi="Noto Sans CJK SC" w:eastAsia="Noto Sans CJK SC"/>
          <w:sz w:val="21"/>
        </w:rPr>
        <w:br w:type="page"/>
      </w: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第一章 文档说明</w:t>
      </w: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1.1 编写目的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本文件用于项目最终验收。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项目完成开发、测试后，由产品、甲方、研发共同依据本文件进行验收。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验收通过后方可正式上线。</w:t>
      </w: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1.2 验收原则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所有验收项必须满足以下原则：</w:t>
      </w:r>
    </w:p>
    <w:p>
      <w:pPr>
        <w:spacing w:after="60" w:line="324" w:lineRule="auto"/>
        <w:ind w:left="397" w:hanging="255"/>
      </w:pPr>
      <w:r>
        <w:rPr>
          <w:rFonts w:ascii="Noto Sans CJK SC" w:hAnsi="Noto Sans CJK SC" w:eastAsia="Noto Sans CJK SC"/>
          <w:sz w:val="21"/>
        </w:rPr>
        <w:t>☐ 功能符合 PRD</w:t>
      </w:r>
    </w:p>
    <w:p>
      <w:pPr>
        <w:spacing w:after="60" w:line="324" w:lineRule="auto"/>
        <w:ind w:left="397" w:hanging="255"/>
      </w:pPr>
      <w:r>
        <w:rPr>
          <w:rFonts w:ascii="Noto Sans CJK SC" w:hAnsi="Noto Sans CJK SC" w:eastAsia="Noto Sans CJK SC"/>
          <w:sz w:val="21"/>
        </w:rPr>
        <w:t>☐ 页面符合设计</w:t>
      </w:r>
    </w:p>
    <w:p>
      <w:pPr>
        <w:spacing w:after="60" w:line="324" w:lineRule="auto"/>
        <w:ind w:left="397" w:hanging="255"/>
      </w:pPr>
      <w:r>
        <w:rPr>
          <w:rFonts w:ascii="Noto Sans CJK SC" w:hAnsi="Noto Sans CJK SC" w:eastAsia="Noto Sans CJK SC"/>
          <w:sz w:val="21"/>
        </w:rPr>
        <w:t>☐ 数据准确</w:t>
      </w:r>
    </w:p>
    <w:p>
      <w:pPr>
        <w:spacing w:after="60" w:line="324" w:lineRule="auto"/>
        <w:ind w:left="397" w:hanging="255"/>
      </w:pPr>
      <w:r>
        <w:rPr>
          <w:rFonts w:ascii="Noto Sans CJK SC" w:hAnsi="Noto Sans CJK SC" w:eastAsia="Noto Sans CJK SC"/>
          <w:sz w:val="21"/>
        </w:rPr>
        <w:t>☐ 权限正确</w:t>
      </w:r>
    </w:p>
    <w:p>
      <w:pPr>
        <w:spacing w:after="60" w:line="324" w:lineRule="auto"/>
        <w:ind w:left="397" w:hanging="255"/>
      </w:pPr>
      <w:r>
        <w:rPr>
          <w:rFonts w:ascii="Noto Sans CJK SC" w:hAnsi="Noto Sans CJK SC" w:eastAsia="Noto Sans CJK SC"/>
          <w:sz w:val="21"/>
        </w:rPr>
        <w:t>☐ AI 回答符合业务规则</w:t>
      </w:r>
    </w:p>
    <w:p>
      <w:pPr>
        <w:spacing w:after="60" w:line="324" w:lineRule="auto"/>
        <w:ind w:left="397" w:hanging="255"/>
      </w:pPr>
      <w:r>
        <w:rPr>
          <w:rFonts w:ascii="Noto Sans CJK SC" w:hAnsi="Noto Sans CJK SC" w:eastAsia="Noto Sans CJK SC"/>
          <w:sz w:val="21"/>
        </w:rPr>
        <w:t>☐ 无 P0/P1 缺陷</w:t>
      </w: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第二章 验收环境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cantSplit/>
          <w:tblHeader w:val="true"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680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要求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前端</w:t>
            </w:r>
          </w:p>
        </w:tc>
        <w:tc>
          <w:tcPr>
            <w:tcW w:type="dxa" w:w="680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生产构建版本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后端</w:t>
            </w:r>
          </w:p>
        </w:tc>
        <w:tc>
          <w:tcPr>
            <w:tcW w:type="dxa" w:w="680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Release 版本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AI 服务</w:t>
            </w:r>
          </w:p>
        </w:tc>
        <w:tc>
          <w:tcPr>
            <w:tcW w:type="dxa" w:w="680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正式配置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飞书知识库</w:t>
            </w:r>
          </w:p>
        </w:tc>
        <w:tc>
          <w:tcPr>
            <w:tcW w:type="dxa" w:w="680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正式知识库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数据库</w:t>
            </w:r>
          </w:p>
        </w:tc>
        <w:tc>
          <w:tcPr>
            <w:tcW w:type="dxa" w:w="680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MySQL 8.x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Redis</w:t>
            </w:r>
          </w:p>
        </w:tc>
        <w:tc>
          <w:tcPr>
            <w:tcW w:type="dxa" w:w="680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已部署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HTTPS</w:t>
            </w:r>
          </w:p>
        </w:tc>
        <w:tc>
          <w:tcPr>
            <w:tcW w:type="dxa" w:w="680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已启用</w:t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第三章 用户端验收</w:t>
      </w: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3.1 登录模块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手机号验证码登录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用户可通过手机号与正确短信验证码成功登录。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首次登录自动注册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首次登录用户自动完成账号注册并进入系统。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Token 正常签发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登录成功后正确签发 Token，接口鉴权正常。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多设备登录正常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用户可在多个设备正常登录，行为符合系统设计。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登录状态保持正常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登录有效期内状态保持正常，过期后按配置重新认证。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登录成功率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≥99%。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7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验证码校验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验证码正确时通过，错误、过期或重复使用时正确拦截。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8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登录耗时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≤3 秒。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3.2 AI 聊天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新建聊天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用户可正常创建新的聊天会话。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输入问题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用户可输入并提交问题。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回复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可基于知识库与业务规则正常回复。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Streaming 输出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回复内容实时流式输出，过程中无明显卡顿。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停止生成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点击停止生成后立即生效。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自动生成标题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第一轮问答完成后自动生成聊天标题。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3.3 历史聊天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历史列表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用户可查看本人历史聊天列表。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查看聊天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用户可进入历史会话并查看完整聊天内容。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删除聊天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删除后用户端不可见，后台记录仍保留。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3.4 每日聊天次数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达到次数限制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达到每日限制后，系统返回：“今日聊天次数已用完，请明天再试或联系管理员。”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次日恢复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第二天每日聊天次数自动恢复。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第四章 AI 能力验收</w:t>
      </w: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4.1 飞书实时检索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修改飞书文档后立即提问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返回飞书知识库中的最新内容，无需执行额外同步。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4.2 权限控制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验收场景：用户 A 仅拥有“直播运营”知识库权限，提问“财务制度”。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无权限知识库隔离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不得检索或返回财务知识库内容。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4.3 知识冲突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验收场景：知识库来源 A 记录“直播 2 小时”，来源 B 记录“直播 4 小时”。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冲突信息处理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分别列出两个来源及对应内容，不得自行判断或合并为唯一结论。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4.4 无知识命中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无知识命中提示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统一返回：“当前知识库中未检索到相关内容，请联系管理员补充相关知识。”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禁止编造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不得编造知识库中不存在的答案。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4.5 Streaming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实时输出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回复以流式方式实时输出。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停止生成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支持用户主动停止生成，停止操作立即生效。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第五章 管理后台验收</w:t>
      </w: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5.1 Dashboard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总用户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统计结果准确。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今日新增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统计结果准确。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今日活跃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统计结果准确。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今日聊天次数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统计结果准确。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Token 消耗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统计结果准确。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知识库排行榜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统计结果准确，排序与数据一致。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5.2 用户管理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新增用户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可正常新增，保存后立即生效。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编辑用户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可正常编辑，保存后立即生效。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启用用户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启用后用户可正常使用系统。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禁用用户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禁用后用户访问立即受限。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设置有效期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有效期配置保存后立即生效。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设置聊天次数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聊天次数配置保存后立即生效。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7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批量授权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可批量配置知识库权限，保存后立即生效。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8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批量删除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可按业务规则完成批量删除。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5.3 管理员管理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创建管理员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仅超级管理员可创建管理员。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编辑管理员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可正常修改管理员基础信息。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修改角色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角色修改后权限立即生效。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修改密码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密码修改成功并按安全规则生效。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5.4 知识库管理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新增知识库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可正常新增知识库配置。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编辑知识库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可正常编辑并保存。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删除知识库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删除后自动解除权限关联，AI 不再检索该知识库。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启用知识库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启用后按权限参与检索。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禁用知识库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禁用后 AI 不再检索。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5.5 Prompt 管理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 Prompt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保存后立即发起聊天，新 Prompt 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5.6 AI 模型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切换模型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模型切换后立即生效，无需重启服务。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5.7 系统配置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登录有效期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超时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飞书重试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上下文长度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每日聊天次数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修改后立即生效。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5.8 操作日志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关键操作记录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所有后台关键操作均必须记录。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操作人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日志准确记录操作人。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时间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日志准确记录操作时间。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内容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日志准确记录操作内容。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修改前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涉及修改的操作记录修改前内容。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修改后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涉及修改的操作记录修改后内容。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第六章 聊天记录验收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保存用户问题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用户问题完整保存。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保存 AI 回复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回复完整保存。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后台查询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后台可按设计条件查询聊天记录。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聊天记录导出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后台可正常导出聊天记录。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永久保存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聊天记录按系统要求永久保存。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第七章 数据统计验收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今天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可查询当天统计数据。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最近 7 天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可查询最近 7 天统计数据。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自定义时间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可按自定义时间范围查询。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用户统计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数据准确且与业务数据一致。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Token 统计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数据准确且与模型调用记录一致。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聊天次数统计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数据准确且与聊天记录一致。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7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知识库排行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数据准确，排序规则正确。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第八章 权限验收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管理员权限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管理员可访问其角色授权范围内的功能。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普通管理员限制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普通管理员不能创建管理员。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用户后台隔离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普通用户不能访问管理后台。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知识库隔离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不能访问用户无权限的知识库。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第九章 异常处理验收</w:t>
      </w: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9.1 飞书异常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验收方法：关闭或模拟飞书接口不可用。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自动重试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系统自动重试，默认重试 2 次。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最终提示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重试仍失败时提示：“当前知识库服务暂时不可用，请稍后再试。”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9.2 AI 超时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验收方法：模拟 AI 请求持续 30 秒。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超时终止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达到超时阈值后立即终止请求。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日志记录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超时事件完整记录日志。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9.3 用户停止生成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停止生成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点击“停止生成”后立即结束。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保留内容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停止前已经生成的内容保留。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第十章 性能验收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0"/>
        <w:gridCol w:w="2380"/>
        <w:gridCol w:w="2380"/>
        <w:gridCol w:w="2380"/>
      </w:tblGrid>
      <w:tr>
        <w:trPr>
          <w:cantSplit/>
          <w:tblHeader w:val="true"/>
        </w:trPr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45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登录</w:t>
            </w:r>
          </w:p>
        </w:tc>
        <w:tc>
          <w:tcPr>
            <w:tcW w:type="dxa" w:w="45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≤3 秒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  □不通过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首字返回</w:t>
            </w:r>
          </w:p>
        </w:tc>
        <w:tc>
          <w:tcPr>
            <w:tcW w:type="dxa" w:w="45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≤5 秒（网络与模型正常情况下）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  □不通过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普通接口响应</w:t>
            </w:r>
          </w:p>
        </w:tc>
        <w:tc>
          <w:tcPr>
            <w:tcW w:type="dxa" w:w="45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≤1 秒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  □不通过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Dashboard</w:t>
            </w:r>
          </w:p>
        </w:tc>
        <w:tc>
          <w:tcPr>
            <w:tcW w:type="dxa" w:w="45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≤2 秒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  □不通过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并发聊天</w:t>
            </w:r>
          </w:p>
        </w:tc>
        <w:tc>
          <w:tcPr>
            <w:tcW w:type="dxa" w:w="45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满足项目预期并保持稳定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  □不通过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数据库慢 SQL</w:t>
            </w:r>
          </w:p>
        </w:tc>
        <w:tc>
          <w:tcPr>
            <w:tcW w:type="dxa" w:w="45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无明显性能瓶颈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  □不通过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第十一章 安全验收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验收标准/预期结果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验收结果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HTTPS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系统全站启用 HTTPS。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JWT 校验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JWT 签名、有效期与合法性校验正确。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Token 失效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Token 失效后不可继续访问受保护接口。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权限隔离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不同角色、用户及知识库权限严格隔离。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SQL 注入防护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通过 SQL 注入安全测试。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XSS 防护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通过 XSS 安全测试。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7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接口鉴权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所有受保护接口均执行正确鉴权。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8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管理后台权限控制</w:t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后台菜单、页面及接口权限控制全部通过。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□通过</w:t>
              <w:br/>
              <w:t>□不通过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第十二章 上线验收清单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上线前确认：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确认事项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确认结果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负责人</w:t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数据库初始化完成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超级管理员创建完成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飞书知识库配置完成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模型配置完成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Prompt 配置完成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系统参数配置完成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7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HTTPS 配置完成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8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短信服务配置完成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9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日志服务正常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10</w:t>
            </w:r>
          </w:p>
        </w:tc>
        <w:tc>
          <w:tcPr>
            <w:tcW w:type="dxa" w:w="42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备份策略已验证</w:t>
            </w:r>
          </w:p>
        </w:tc>
        <w:tc>
          <w:tcPr>
            <w:tcW w:type="dxa" w:w="215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□已完成  □未完成</w:t>
            </w:r>
          </w:p>
        </w:tc>
        <w:tc>
          <w:tcPr>
            <w:tcW w:type="dxa" w:w="141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113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第十三章 缺陷验收标准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cantSplit/>
          <w:tblHeader w:val="true"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等级</w:t>
            </w:r>
          </w:p>
        </w:tc>
        <w:tc>
          <w:tcPr>
            <w:tcW w:type="dxa" w:w="737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上线要求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P0</w:t>
            </w:r>
          </w:p>
        </w:tc>
        <w:tc>
          <w:tcPr>
            <w:tcW w:type="dxa" w:w="737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0 个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P1</w:t>
            </w:r>
          </w:p>
        </w:tc>
        <w:tc>
          <w:tcPr>
            <w:tcW w:type="dxa" w:w="737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0 个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P2</w:t>
            </w:r>
          </w:p>
        </w:tc>
        <w:tc>
          <w:tcPr>
            <w:tcW w:type="dxa" w:w="737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原则上 0 个；如保留需经双方确认并有规避方案</w:t>
            </w:r>
          </w:p>
        </w:tc>
      </w:tr>
      <w:tr>
        <w:trPr>
          <w:cantSplit/>
        </w:trPr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P3</w:t>
            </w:r>
          </w:p>
        </w:tc>
        <w:tc>
          <w:tcPr>
            <w:tcW w:type="dxa" w:w="737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可保留少量，不影响正常业务</w:t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第十四章 项目交付清单</w:t>
      </w: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14.1 文档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0"/>
        <w:gridCol w:w="2380"/>
        <w:gridCol w:w="2380"/>
        <w:gridCol w:w="2380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交付文档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交付状态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《01-产品需求说明书（PRD）》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《02-系统功能规格说明书（SRS）》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《03-数据库设计文档》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《04-API 接口设计文档》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《05-AI/RAG 技术方案》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《06-后台页面原型说明》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7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《07-研发实施计划》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8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《08-测试用例》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9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《09-项目验收标准（UAT）》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14.2 源码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0"/>
        <w:gridCol w:w="2380"/>
        <w:gridCol w:w="2380"/>
        <w:gridCol w:w="2380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交付内容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交付状态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用户端源码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管理后台源码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后端源码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AI 服务源码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数据库脚本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160" w:after="100"/>
      </w:pPr>
      <w:r>
        <w:rPr>
          <w:rFonts w:ascii="Noto Sans CJK SC" w:hAnsi="Noto Sans CJK SC" w:eastAsia="Noto Sans CJK SC"/>
          <w:b/>
          <w:color w:val="1F4E78"/>
          <w:sz w:val="25"/>
        </w:rPr>
        <w:t>14.3 部署资料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0"/>
        <w:gridCol w:w="2380"/>
        <w:gridCol w:w="2380"/>
        <w:gridCol w:w="2380"/>
      </w:tblGrid>
      <w:tr>
        <w:trPr>
          <w:cantSplit/>
          <w:tblHeader w:val="true"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交付内容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交付状态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环境配置说明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初始化 SQL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配置模板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启动脚本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6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type="dxa" w:w="595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运维说明</w:t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□已交付</w:t>
            </w:r>
          </w:p>
        </w:tc>
        <w:tc>
          <w:tcPr>
            <w:tcW w:type="dxa" w:w="1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keepNext/>
        <w:spacing w:before="240" w:after="160"/>
        <w:pBdr>
          <w:bottom w:val="single" w:sz="12" w:space="4" w:color="1F4E78"/>
        </w:pBdr>
      </w:pPr>
      <w:r>
        <w:rPr>
          <w:rFonts w:ascii="Noto Sans CJK SC" w:hAnsi="Noto Sans CJK SC" w:eastAsia="Noto Sans CJK SC"/>
          <w:b/>
          <w:color w:val="1F4E78"/>
          <w:sz w:val="32"/>
        </w:rPr>
        <w:t>第十五章 验收签字</w:t>
      </w:r>
    </w:p>
    <w:p>
      <w:pPr>
        <w:spacing w:before="0" w:after="80" w:line="336" w:lineRule="auto"/>
      </w:pPr>
      <w:r>
        <w:rPr>
          <w:rFonts w:ascii="Noto Sans CJK SC" w:hAnsi="Noto Sans CJK SC" w:eastAsia="Noto Sans CJK SC"/>
          <w:b w:val="0"/>
          <w:sz w:val="21"/>
        </w:rPr>
        <w:t>本项目依据本验收标准完成验收。各方签字后，视为对验收结论及相关遗留事项达成一致。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0"/>
        <w:gridCol w:w="2380"/>
        <w:gridCol w:w="2380"/>
        <w:gridCol w:w="2380"/>
      </w:tblGrid>
      <w:tr>
        <w:trPr>
          <w:cantSplit/>
          <w:tblHeader w:val="true"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角色</w:t>
            </w:r>
          </w:p>
        </w:tc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姓名</w:t>
            </w:r>
          </w:p>
        </w:tc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日期</w:t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1F4E78"/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签字</w:t>
            </w:r>
          </w:p>
        </w:tc>
      </w:tr>
      <w:tr>
        <w:trPr>
          <w:trHeight w:val="907"/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甲方项目负责人</w:t>
            </w:r>
          </w:p>
        </w:tc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</w:tr>
      <w:tr>
        <w:trPr>
          <w:trHeight w:val="907"/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产品经理</w:t>
            </w:r>
          </w:p>
        </w:tc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</w:tr>
      <w:tr>
        <w:trPr>
          <w:trHeight w:val="907"/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技术负责人</w:t>
            </w:r>
          </w:p>
        </w:tc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</w:tr>
      <w:tr>
        <w:trPr>
          <w:trHeight w:val="907"/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测试负责人</w:t>
            </w:r>
          </w:p>
        </w:tc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</w:tr>
      <w:tr>
        <w:trPr>
          <w:trHeight w:val="907"/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项目经理</w:t>
            </w:r>
          </w:p>
        </w:tc>
        <w:tc>
          <w:tcPr>
            <w:tcW w:type="dxa" w:w="22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19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</w:r>
          </w:p>
        </w:tc>
      </w:tr>
    </w:tbl>
    <w:p>
      <w:pPr>
        <w:spacing w:before="0" w:after="320" w:line="336" w:lineRule="auto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cantSplit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D9EAF7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/>
                <w:sz w:val="20"/>
              </w:rPr>
              <w:t>最终验收结论</w:t>
            </w:r>
          </w:p>
        </w:tc>
        <w:tc>
          <w:tcPr>
            <w:tcW w:type="dxa" w:w="680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shd w:fill="F4F7FA"/>
          </w:tcPr>
          <w:p>
            <w:pPr>
              <w:spacing w:before="0" w:after="0" w:line="288" w:lineRule="auto"/>
            </w:pPr>
            <w:r>
              <w:rPr>
                <w:rFonts w:ascii="Noto Sans CJK SC" w:hAnsi="Noto Sans CJK SC" w:eastAsia="Noto Sans CJK SC"/>
                <w:b w:val="0"/>
                <w:sz w:val="20"/>
              </w:rPr>
              <w:t>□ 验收通过    □ 有条件通过    □ 验收不通过</w:t>
            </w:r>
          </w:p>
        </w:tc>
      </w:tr>
    </w:tbl>
    <w:p>
      <w:pPr>
        <w:spacing w:before="0" w:after="240" w:line="336" w:lineRule="auto"/>
      </w:pPr>
    </w:p>
    <w:p>
      <w:pPr>
        <w:keepNext/>
        <w:spacing w:before="0" w:after="80" w:line="336" w:lineRule="auto"/>
      </w:pPr>
      <w:r>
        <w:rPr>
          <w:rFonts w:ascii="Noto Sans CJK SC" w:hAnsi="Noto Sans CJK SC" w:eastAsia="Noto Sans CJK SC"/>
          <w:b/>
          <w:color w:val="1F4E78"/>
          <w:sz w:val="21"/>
        </w:rPr>
        <w:t>验收说明/遗留事项：</w:t>
      </w:r>
    </w:p>
    <w:p>
      <w:pPr>
        <w:spacing w:before="0" w:after="120" w:line="336" w:lineRule="auto"/>
      </w:pPr>
      <w:r>
        <w:rPr>
          <w:rFonts w:ascii="Noto Sans CJK SC" w:hAnsi="Noto Sans CJK SC" w:eastAsia="Noto Sans CJK SC"/>
          <w:b w:val="0"/>
          <w:color w:val="666666"/>
          <w:sz w:val="20"/>
        </w:rPr>
        <w:t>________________________________________________________________________________</w:t>
      </w:r>
    </w:p>
    <w:p>
      <w:pPr>
        <w:spacing w:before="0" w:after="120" w:line="336" w:lineRule="auto"/>
      </w:pPr>
      <w:r>
        <w:rPr>
          <w:rFonts w:ascii="Noto Sans CJK SC" w:hAnsi="Noto Sans CJK SC" w:eastAsia="Noto Sans CJK SC"/>
          <w:b w:val="0"/>
          <w:color w:val="666666"/>
          <w:sz w:val="20"/>
        </w:rPr>
        <w:t>________________________________________________________________________________</w:t>
      </w:r>
    </w:p>
    <w:p>
      <w:pPr>
        <w:spacing w:before="0" w:after="120" w:line="336" w:lineRule="auto"/>
      </w:pPr>
      <w:r>
        <w:rPr>
          <w:rFonts w:ascii="Noto Sans CJK SC" w:hAnsi="Noto Sans CJK SC" w:eastAsia="Noto Sans CJK SC"/>
          <w:b w:val="0"/>
          <w:color w:val="666666"/>
          <w:sz w:val="20"/>
        </w:rPr>
        <w:t>________________________________________________________________________________</w:t>
      </w:r>
    </w:p>
    <w:p>
      <w:pPr>
        <w:spacing w:before="0" w:after="120" w:line="336" w:lineRule="auto"/>
      </w:pPr>
      <w:r>
        <w:rPr>
          <w:rFonts w:ascii="Noto Sans CJK SC" w:hAnsi="Noto Sans CJK SC" w:eastAsia="Noto Sans CJK SC"/>
          <w:b w:val="0"/>
          <w:color w:val="666666"/>
          <w:sz w:val="20"/>
        </w:rPr>
        <w:t>________________________________________________________________________________</w:t>
      </w:r>
    </w:p>
    <w:p>
      <w:pPr>
        <w:spacing w:before="320" w:after="80" w:line="336" w:lineRule="auto"/>
        <w:jc w:val="center"/>
      </w:pPr>
      <w:r>
        <w:rPr>
          <w:rFonts w:ascii="Noto Sans CJK SC" w:hAnsi="Noto Sans CJK SC" w:eastAsia="Noto Sans CJK SC"/>
          <w:b w:val="0"/>
          <w:color w:val="666666"/>
          <w:sz w:val="20"/>
        </w:rPr>
        <w:t>——《09-AI知识库系统项目验收标准（UAT）》V1.0 完——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361" w:right="1304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666666"/>
        <w:sz w:val="18"/>
      </w:rPr>
      <w:t xml:space="preserve">第 </w:t>
      <w:fldChar w:fldCharType="begin"/>
      <w:instrText xml:space="preserve">PAGE</w:instrText>
      <w:fldChar w:fldCharType="end"/>
    </w:r>
    <w:r>
      <w:rPr>
        <w:rFonts w:ascii="Noto Sans CJK SC" w:hAnsi="Noto Sans CJK SC" w:eastAsia="Noto Sans CJK SC"/>
        <w:color w:val="666666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Noto Sans CJK SC" w:hAnsi="Noto Sans CJK SC" w:eastAsia="Noto Sans CJK SC"/>
        <w:color w:val="666666"/>
        <w:sz w:val="17"/>
      </w:rPr>
      <w:t>AI 企业知识库问答系统｜项目验收标准（UAT）V1.0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 w:after="80"/>
    </w:pPr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09-AI知识库系统项目验收标准（UAT）</dc:title>
  <dc:subject>AI 企业知识库问答系统项目最终验收标准</dc:subject>
  <dc:creator>深圳市慧愈文化科技有限公司</dc:creator>
  <cp:keywords>AI知识库,UAT,项目验收,用户验收测试</cp:keywords>
  <dc:description>V1.0正式交付版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