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100"/>
        <w:jc w:val="center"/>
        <w:widowControl w:val="1"/>
      </w:pPr>
      <w:r>
        <w:rPr>
          <w:rFonts w:ascii="Noto Sans CJK SC" w:hAnsi="Noto Sans CJK SC" w:eastAsia="Noto Sans CJK SC"/>
          <w:b/>
          <w:color w:val="2E74B5"/>
          <w:sz w:val="26"/>
        </w:rPr>
        <w:t>10</w:t>
      </w:r>
    </w:p>
    <w:p>
      <w:pPr>
        <w:pStyle w:val="Title"/>
        <w:jc w:val="center"/>
        <w:widowControl w:val="1"/>
      </w:pPr>
      <w:r>
        <w:rPr>
          <w:rFonts w:ascii="Noto Sans CJK SC" w:hAnsi="Noto Sans CJK SC" w:eastAsia="Noto Sans CJK SC"/>
          <w:b/>
          <w:color w:val="1F4E79"/>
          <w:sz w:val="48"/>
        </w:rPr>
        <w:t>AI知识库系统部署运维手册</w:t>
      </w:r>
    </w:p>
    <w:p>
      <w:pPr>
        <w:jc w:val="center"/>
        <w:widowControl w:val="1"/>
      </w:pPr>
      <w:r>
        <w:rPr>
          <w:rFonts w:ascii="Noto Sans CJK SC" w:hAnsi="Noto Sans CJK SC" w:eastAsia="Noto Sans CJK SC"/>
          <w:b w:val="0"/>
          <w:color w:val="595959"/>
          <w:sz w:val="28"/>
        </w:rPr>
        <w:t>Deployment &amp; Operations Guide</w:t>
      </w:r>
    </w:p>
    <w:p>
      <w:pPr>
        <w:jc w:val="center"/>
        <w:widowControl w:val="1"/>
      </w:pPr>
      <w:r>
        <w:rPr>
          <w:rFonts w:ascii="Noto Sans CJK SC" w:hAnsi="Noto Sans CJK SC" w:eastAsia="Noto Sans CJK SC"/>
          <w:color w:val="2E74B5"/>
          <w:sz w:val="20"/>
        </w:rPr>
        <w:t>━━━━━━━━━━━━━━━━━━━━━━━━━━━━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016"/>
        <w:gridCol w:w="5616"/>
      </w:tblGrid>
      <w:tr>
        <w:tc>
          <w:tcPr>
            <w:tcW w:type="dxa" w:w="2016"/>
            <w:shd w:fill="D9EAF7"/>
            <w:tcMar>
              <w:top w:w="120" w:type="dxa"/>
              <w:start w:w="130" w:type="dxa"/>
              <w:bottom w:w="120" w:type="dxa"/>
              <w:end w:w="130" w:type="dxa"/>
            </w:tcMar>
            <w:tcBorders>
              <w:top w:val="single" w:sz="6" w:space="0" w:color="D6DEE6"/>
              <w:left w:val="single" w:sz="6" w:space="0" w:color="D6DEE6"/>
              <w:bottom w:val="single" w:sz="6" w:space="0" w:color="D6DEE6"/>
              <w:right w:val="single" w:sz="6" w:space="0" w:color="D6DEE6"/>
            </w:tcBorders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1F4E79"/>
                <w:sz w:val="20"/>
              </w:rPr>
              <w:t>项目名称</w:t>
            </w:r>
          </w:p>
        </w:tc>
        <w:tc>
          <w:tcPr>
            <w:tcW w:type="dxa" w:w="5616"/>
            <w:shd w:fill="F7F9FB"/>
            <w:tcMar>
              <w:top w:w="120" w:type="dxa"/>
              <w:start w:w="130" w:type="dxa"/>
              <w:bottom w:w="120" w:type="dxa"/>
              <w:end w:w="130" w:type="dxa"/>
            </w:tcMar>
            <w:tcBorders>
              <w:top w:val="single" w:sz="6" w:space="0" w:color="D6DEE6"/>
              <w:left w:val="single" w:sz="6" w:space="0" w:color="D6DEE6"/>
              <w:bottom w:val="single" w:sz="6" w:space="0" w:color="D6DEE6"/>
              <w:right w:val="single" w:sz="6" w:space="0" w:color="D6DEE6"/>
            </w:tcBorders>
          </w:tcPr>
          <w:p>
            <w:pPr>
              <w:spacing w:after="0"/>
              <w:jc w:val="left"/>
            </w:pPr>
            <w:r>
              <w:rPr>
                <w:rFonts w:ascii="Noto Sans CJK SC" w:hAnsi="Noto Sans CJK SC" w:eastAsia="Noto Sans CJK SC"/>
                <w:sz w:val="20"/>
              </w:rPr>
              <w:t>AI 企业知识库问答系统</w:t>
            </w:r>
          </w:p>
        </w:tc>
      </w:tr>
      <w:tr>
        <w:tc>
          <w:tcPr>
            <w:tcW w:type="dxa" w:w="2016"/>
            <w:shd w:fill="D9EAF7"/>
            <w:tcMar>
              <w:top w:w="120" w:type="dxa"/>
              <w:start w:w="130" w:type="dxa"/>
              <w:bottom w:w="120" w:type="dxa"/>
              <w:end w:w="130" w:type="dxa"/>
            </w:tcMar>
            <w:tcBorders>
              <w:top w:val="single" w:sz="6" w:space="0" w:color="D6DEE6"/>
              <w:left w:val="single" w:sz="6" w:space="0" w:color="D6DEE6"/>
              <w:bottom w:val="single" w:sz="6" w:space="0" w:color="D6DEE6"/>
              <w:right w:val="single" w:sz="6" w:space="0" w:color="D6DEE6"/>
            </w:tcBorders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1F4E79"/>
                <w:sz w:val="20"/>
              </w:rPr>
              <w:t>文档版本</w:t>
            </w:r>
          </w:p>
        </w:tc>
        <w:tc>
          <w:tcPr>
            <w:tcW w:type="dxa" w:w="5616"/>
            <w:shd w:fill="F7F9FB"/>
            <w:tcMar>
              <w:top w:w="120" w:type="dxa"/>
              <w:start w:w="130" w:type="dxa"/>
              <w:bottom w:w="120" w:type="dxa"/>
              <w:end w:w="130" w:type="dxa"/>
            </w:tcMar>
            <w:tcBorders>
              <w:top w:val="single" w:sz="6" w:space="0" w:color="D6DEE6"/>
              <w:left w:val="single" w:sz="6" w:space="0" w:color="D6DEE6"/>
              <w:bottom w:val="single" w:sz="6" w:space="0" w:color="D6DEE6"/>
              <w:right w:val="single" w:sz="6" w:space="0" w:color="D6DEE6"/>
            </w:tcBorders>
          </w:tcPr>
          <w:p>
            <w:pPr>
              <w:spacing w:after="0"/>
              <w:jc w:val="left"/>
            </w:pPr>
            <w:r>
              <w:rPr>
                <w:rFonts w:ascii="Noto Sans CJK SC" w:hAnsi="Noto Sans CJK SC" w:eastAsia="Noto Sans CJK SC"/>
                <w:sz w:val="20"/>
              </w:rPr>
              <w:t>V1.0</w:t>
            </w:r>
          </w:p>
        </w:tc>
      </w:tr>
      <w:tr>
        <w:tc>
          <w:tcPr>
            <w:tcW w:type="dxa" w:w="2016"/>
            <w:shd w:fill="D9EAF7"/>
            <w:tcMar>
              <w:top w:w="120" w:type="dxa"/>
              <w:start w:w="130" w:type="dxa"/>
              <w:bottom w:w="120" w:type="dxa"/>
              <w:end w:w="130" w:type="dxa"/>
            </w:tcMar>
            <w:tcBorders>
              <w:top w:val="single" w:sz="6" w:space="0" w:color="D6DEE6"/>
              <w:left w:val="single" w:sz="6" w:space="0" w:color="D6DEE6"/>
              <w:bottom w:val="single" w:sz="6" w:space="0" w:color="D6DEE6"/>
              <w:right w:val="single" w:sz="6" w:space="0" w:color="D6DEE6"/>
            </w:tcBorders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1F4E79"/>
                <w:sz w:val="20"/>
              </w:rPr>
              <w:t>适用版本</w:t>
            </w:r>
          </w:p>
        </w:tc>
        <w:tc>
          <w:tcPr>
            <w:tcW w:type="dxa" w:w="5616"/>
            <w:shd w:fill="F7F9FB"/>
            <w:tcMar>
              <w:top w:w="120" w:type="dxa"/>
              <w:start w:w="130" w:type="dxa"/>
              <w:bottom w:w="120" w:type="dxa"/>
              <w:end w:w="130" w:type="dxa"/>
            </w:tcMar>
            <w:tcBorders>
              <w:top w:val="single" w:sz="6" w:space="0" w:color="D6DEE6"/>
              <w:left w:val="single" w:sz="6" w:space="0" w:color="D6DEE6"/>
              <w:bottom w:val="single" w:sz="6" w:space="0" w:color="D6DEE6"/>
              <w:right w:val="single" w:sz="6" w:space="0" w:color="D6DEE6"/>
            </w:tcBorders>
          </w:tcPr>
          <w:p>
            <w:pPr>
              <w:spacing w:after="0"/>
              <w:jc w:val="left"/>
            </w:pPr>
            <w:r>
              <w:rPr>
                <w:rFonts w:ascii="Noto Sans CJK SC" w:hAnsi="Noto Sans CJK SC" w:eastAsia="Noto Sans CJK SC"/>
                <w:sz w:val="20"/>
              </w:rPr>
              <w:t>V1.0</w:t>
            </w:r>
          </w:p>
        </w:tc>
      </w:tr>
    </w:tbl>
    <w:p>
      <w:pPr>
        <w:spacing w:before="1400"/>
        <w:jc w:val="center"/>
        <w:widowControl w:val="1"/>
      </w:pPr>
      <w:r>
        <w:rPr>
          <w:rFonts w:ascii="Noto Sans CJK SC" w:hAnsi="Noto Sans CJK SC" w:eastAsia="Noto Sans CJK SC"/>
          <w:color w:val="646464"/>
          <w:sz w:val="20"/>
        </w:rPr>
        <w:t>系统部署｜环境配置｜上线运维｜监控备份｜故障恢复</w:t>
      </w:r>
    </w:p>
    <w:p>
      <w:pPr>
        <w:widowControl w:val="1"/>
      </w:pPr>
      <w:r>
        <w:br w:type="page"/>
      </w:r>
    </w:p>
    <w:p>
      <w:pPr>
        <w:pStyle w:val="Heading1"/>
        <w:pageBreakBefore w:val="0"/>
        <w:widowControl w:val="1"/>
      </w:pPr>
      <w:r>
        <w:rPr>
          <w:rFonts w:ascii="Noto Sans CJK SC" w:hAnsi="Noto Sans CJK SC" w:eastAsia="Noto Sans CJK SC"/>
          <w:b/>
          <w:color w:val="1F4E79"/>
          <w:sz w:val="32"/>
        </w:rPr>
        <w:t>文档目录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9"/>
        <w:gridCol w:w="4939"/>
      </w:tblGrid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01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第一章 文档说明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02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第二章 系统部署架构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03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第三章 服务器规划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04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第四章 环境变量配置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05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第五章 数据库初始化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06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第六章 Redis 使用说明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07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第七章 Nginx 配置建议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08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第八章 AI 服务配置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09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第九章 上线流程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10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第十章 日志管理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11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第十一章 数据备份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12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第十二章 系统监控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13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第十三章 故障处理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14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  <w:shd w:fill="F4F7FA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第十四章 回滚方案</w:t>
            </w:r>
          </w:p>
        </w:tc>
      </w:tr>
      <w:tr>
        <w:tc>
          <w:tcPr>
            <w:tcW w:type="dxa" w:w="792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2E74B5"/>
                <w:sz w:val="19"/>
              </w:rPr>
              <w:t>15</w:t>
            </w:r>
          </w:p>
        </w:tc>
        <w:tc>
          <w:tcPr>
            <w:tcW w:type="dxa" w:w="8424"/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sz w:val="20"/>
              </w:rPr>
              <w:t>第十五章 运维检查清单</w:t>
            </w:r>
          </w:p>
        </w:tc>
      </w:tr>
    </w:tbl>
    <w:p>
      <w:pPr>
        <w:widowControl w:val="1"/>
      </w:pPr>
      <w:r>
        <w:br w:type="page"/>
      </w:r>
    </w:p>
    <w:p>
      <w:pPr>
        <w:pStyle w:val="Heading1"/>
        <w:keepNext/>
        <w:pageBreakBefore/>
        <w:widowControl w:val="1"/>
      </w:pPr>
      <w:r>
        <w:t>第一章 文档说明</w:t>
      </w:r>
    </w:p>
    <w:p>
      <w:pPr>
        <w:pStyle w:val="Heading2"/>
        <w:keepNext/>
        <w:pageBreakBefore w:val="0"/>
        <w:widowControl w:val="1"/>
      </w:pPr>
      <w:r>
        <w:t>1.1 编写目的</w:t>
      </w:r>
    </w:p>
    <w:p>
      <w:pPr>
        <w:spacing w:after="100" w:line="348" w:lineRule="auto"/>
        <w:ind w:firstLine="403"/>
        <w:widowControl w:val="1"/>
      </w:pPr>
      <w:r>
        <w:rPr>
          <w:rFonts w:ascii="Noto Sans CJK SC" w:hAnsi="Noto Sans CJK SC" w:eastAsia="Noto Sans CJK SC"/>
          <w:sz w:val="21"/>
        </w:rPr>
        <w:t>本文档用于指导系统部署、环境配置、上线、运维、监控、备份及故障恢复。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适用对象：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运维工程师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后端开发工程师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DevOps 工程师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项目实施人员</w:t>
      </w:r>
    </w:p>
    <w:p>
      <w:pPr>
        <w:pStyle w:val="Heading1"/>
        <w:keepNext/>
        <w:pageBreakBefore/>
        <w:widowControl w:val="1"/>
      </w:pPr>
      <w:r>
        <w:t>第二章 系统部署架构</w:t>
      </w:r>
    </w:p>
    <w:p>
      <w:pPr>
        <w:pStyle w:val="Heading2"/>
        <w:keepNext/>
        <w:pageBreakBefore w:val="0"/>
        <w:widowControl w:val="1"/>
      </w:pPr>
      <w:r>
        <w:t>2.1 总体架构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432"/>
            <w:shd w:fill="F6F8FA"/>
            <w:tcMar>
              <w:top w:w="140" w:type="dxa"/>
              <w:start w:w="160" w:type="dxa"/>
              <w:bottom w:w="140" w:type="dxa"/>
              <w:end w:w="160" w:type="dxa"/>
            </w:tcMar>
            <w:tcBorders>
              <w:top w:val="single" w:sz="6" w:space="0" w:color="C9D2DC"/>
              <w:left w:val="single" w:sz="6" w:space="0" w:color="C9D2DC"/>
              <w:bottom w:val="single" w:sz="6" w:space="0" w:color="C9D2DC"/>
              <w:right w:val="single" w:sz="6" w:space="0" w:color="C9D2DC"/>
            </w:tcBorders>
          </w:tcPr>
          <w:p>
            <w:pPr>
              <w:spacing w:after="0" w:line="240" w:lineRule="auto"/>
            </w:pPr>
            <w:r>
              <w:rPr>
                <w:rFonts w:ascii="Noto Sans Mono CJK SC" w:hAnsi="Noto Sans Mono CJK SC" w:eastAsia="Noto Sans Mono CJK SC"/>
                <w:sz w:val="16"/>
              </w:rPr>
              <w:t xml:space="preserve">                  Internet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        HTTPS / 443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         Nginx 反向代理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┌─────────────┴─────────────┐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│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用户端（H5/Web）           管理后台（Admin）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│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└─────────────┬─────────────┘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         Backend API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┌─────────────┼─────────────┐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│             │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AI Service     Redis        MySQL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       ▼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6"/>
              </w:rPr>
              <w:t xml:space="preserve"> 飞书知识库 API + AI 模型 API</w:t>
            </w:r>
          </w:p>
        </w:tc>
      </w:tr>
    </w:tbl>
    <w:p>
      <w:pPr>
        <w:spacing w:after="0"/>
        <w:widowControl w:val="1"/>
      </w:pPr>
    </w:p>
    <w:p>
      <w:pPr>
        <w:pStyle w:val="Heading1"/>
        <w:keepNext/>
        <w:pageBreakBefore/>
        <w:widowControl w:val="1"/>
      </w:pPr>
      <w:r>
        <w:t>第三章 服务器规划</w:t>
      </w:r>
    </w:p>
    <w:p>
      <w:pPr>
        <w:pStyle w:val="Heading2"/>
        <w:keepNext/>
        <w:pageBreakBefore w:val="0"/>
        <w:widowControl w:val="1"/>
      </w:pPr>
      <w:r>
        <w:t>3.1 建议配置（生产环境）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9"/>
        <w:gridCol w:w="2469"/>
        <w:gridCol w:w="2469"/>
        <w:gridCol w:w="2469"/>
      </w:tblGrid>
      <w:tr>
        <w:trPr>
          <w:tblHeader w:val="true"/>
        </w:trPr>
        <w:tc>
          <w:tcPr>
            <w:tcW w:type="dxa" w:w="2448"/>
            <w:shd w:fill="1F4E7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服务</w:t>
            </w:r>
          </w:p>
        </w:tc>
        <w:tc>
          <w:tcPr>
            <w:tcW w:type="dxa" w:w="1728"/>
            <w:shd w:fill="1F4E7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CPU</w:t>
            </w:r>
          </w:p>
        </w:tc>
        <w:tc>
          <w:tcPr>
            <w:tcW w:type="dxa" w:w="2016"/>
            <w:shd w:fill="1F4E7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内存</w:t>
            </w:r>
          </w:p>
        </w:tc>
        <w:tc>
          <w:tcPr>
            <w:tcW w:type="dxa" w:w="2880"/>
            <w:shd w:fill="1F4E7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磁盘</w:t>
            </w:r>
          </w:p>
        </w:tc>
      </w:tr>
      <w:tr>
        <w:tc>
          <w:tcPr>
            <w:tcW w:type="dxa" w:w="2448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Nginx</w:t>
            </w:r>
          </w:p>
        </w:tc>
        <w:tc>
          <w:tcPr>
            <w:tcW w:type="dxa" w:w="1728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2 核</w:t>
            </w:r>
          </w:p>
        </w:tc>
        <w:tc>
          <w:tcPr>
            <w:tcW w:type="dxa" w:w="201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2 GB</w:t>
            </w:r>
          </w:p>
        </w:tc>
        <w:tc>
          <w:tcPr>
            <w:tcW w:type="dxa" w:w="288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20 GB</w:t>
            </w:r>
          </w:p>
        </w:tc>
      </w:tr>
      <w:tr>
        <w:tc>
          <w:tcPr>
            <w:tcW w:type="dxa" w:w="2448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Backend</w:t>
            </w:r>
          </w:p>
        </w:tc>
        <w:tc>
          <w:tcPr>
            <w:tcW w:type="dxa" w:w="1728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4 核</w:t>
            </w:r>
          </w:p>
        </w:tc>
        <w:tc>
          <w:tcPr>
            <w:tcW w:type="dxa" w:w="2016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8 GB</w:t>
            </w:r>
          </w:p>
        </w:tc>
        <w:tc>
          <w:tcPr>
            <w:tcW w:type="dxa" w:w="2880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50 GB</w:t>
            </w:r>
          </w:p>
        </w:tc>
      </w:tr>
      <w:tr>
        <w:tc>
          <w:tcPr>
            <w:tcW w:type="dxa" w:w="2448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AI Service</w:t>
            </w:r>
          </w:p>
        </w:tc>
        <w:tc>
          <w:tcPr>
            <w:tcW w:type="dxa" w:w="1728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4 核</w:t>
            </w:r>
          </w:p>
        </w:tc>
        <w:tc>
          <w:tcPr>
            <w:tcW w:type="dxa" w:w="201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8 GB</w:t>
            </w:r>
          </w:p>
        </w:tc>
        <w:tc>
          <w:tcPr>
            <w:tcW w:type="dxa" w:w="288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50 GB</w:t>
            </w:r>
          </w:p>
        </w:tc>
      </w:tr>
      <w:tr>
        <w:tc>
          <w:tcPr>
            <w:tcW w:type="dxa" w:w="2448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MySQL</w:t>
            </w:r>
          </w:p>
        </w:tc>
        <w:tc>
          <w:tcPr>
            <w:tcW w:type="dxa" w:w="1728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8 核</w:t>
            </w:r>
          </w:p>
        </w:tc>
        <w:tc>
          <w:tcPr>
            <w:tcW w:type="dxa" w:w="2016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16 GB</w:t>
            </w:r>
          </w:p>
        </w:tc>
        <w:tc>
          <w:tcPr>
            <w:tcW w:type="dxa" w:w="2880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200 GB SSD</w:t>
            </w:r>
          </w:p>
        </w:tc>
      </w:tr>
      <w:tr>
        <w:tc>
          <w:tcPr>
            <w:tcW w:type="dxa" w:w="2448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Redis</w:t>
            </w:r>
          </w:p>
        </w:tc>
        <w:tc>
          <w:tcPr>
            <w:tcW w:type="dxa" w:w="1728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2 核</w:t>
            </w:r>
          </w:p>
        </w:tc>
        <w:tc>
          <w:tcPr>
            <w:tcW w:type="dxa" w:w="201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4 GB</w:t>
            </w:r>
          </w:p>
        </w:tc>
        <w:tc>
          <w:tcPr>
            <w:tcW w:type="dxa" w:w="288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20 GB</w:t>
            </w:r>
          </w:p>
        </w:tc>
      </w:tr>
    </w:tbl>
    <w:p>
      <w:pPr>
        <w:spacing w:after="0"/>
        <w:widowControl w:val="1"/>
      </w:pPr>
    </w:p>
    <w:p>
      <w:pPr>
        <w:pStyle w:val="Heading2"/>
        <w:keepNext/>
        <w:pageBreakBefore w:val="0"/>
        <w:widowControl w:val="1"/>
      </w:pPr>
      <w:r>
        <w:t>3.2 环境要求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Linux（Ubuntu LTS 或 CentOS Stream）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Docker（如采用容器化）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MySQL 8.x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Redis 7.x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Nginx 最新稳定版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Git</w:t>
      </w:r>
    </w:p>
    <w:p>
      <w:pPr>
        <w:pStyle w:val="Heading1"/>
        <w:keepNext/>
        <w:pageBreakBefore/>
        <w:widowControl w:val="1"/>
      </w:pPr>
      <w:r>
        <w:t>第四章 环境变量配置</w:t>
      </w:r>
    </w:p>
    <w:p>
      <w:pPr>
        <w:spacing w:after="100" w:line="348" w:lineRule="auto"/>
        <w:ind w:firstLine="403"/>
        <w:widowControl w:val="1"/>
      </w:pPr>
      <w:r>
        <w:rPr>
          <w:rFonts w:ascii="Noto Sans CJK SC" w:hAnsi="Noto Sans CJK SC" w:eastAsia="Noto Sans CJK SC"/>
          <w:sz w:val="21"/>
        </w:rPr>
        <w:t>建议使用 .env 或配置中心统一管理。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9"/>
        <w:gridCol w:w="4939"/>
      </w:tblGrid>
      <w:tr>
        <w:trPr>
          <w:tblHeader w:val="true"/>
        </w:trPr>
        <w:tc>
          <w:tcPr>
            <w:tcW w:type="dxa" w:w="3456"/>
            <w:shd w:fill="1F4E7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配置项</w:t>
            </w:r>
          </w:p>
        </w:tc>
        <w:tc>
          <w:tcPr>
            <w:tcW w:type="dxa" w:w="5760"/>
            <w:shd w:fill="1F4E7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说明</w:t>
            </w:r>
          </w:p>
        </w:tc>
      </w:tr>
      <w:tr>
        <w:tc>
          <w:tcPr>
            <w:tcW w:type="dxa" w:w="345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DB_HOST</w:t>
            </w:r>
          </w:p>
        </w:tc>
        <w:tc>
          <w:tcPr>
            <w:tcW w:type="dxa" w:w="576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数据库地址</w:t>
            </w:r>
          </w:p>
        </w:tc>
      </w:tr>
      <w:tr>
        <w:tc>
          <w:tcPr>
            <w:tcW w:type="dxa" w:w="3456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DB_PORT</w:t>
            </w:r>
          </w:p>
        </w:tc>
        <w:tc>
          <w:tcPr>
            <w:tcW w:type="dxa" w:w="5760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数据库端口</w:t>
            </w:r>
          </w:p>
        </w:tc>
      </w:tr>
      <w:tr>
        <w:tc>
          <w:tcPr>
            <w:tcW w:type="dxa" w:w="345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DB_NAME</w:t>
            </w:r>
          </w:p>
        </w:tc>
        <w:tc>
          <w:tcPr>
            <w:tcW w:type="dxa" w:w="576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数据库名称</w:t>
            </w:r>
          </w:p>
        </w:tc>
      </w:tr>
      <w:tr>
        <w:tc>
          <w:tcPr>
            <w:tcW w:type="dxa" w:w="3456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DB_USER</w:t>
            </w:r>
          </w:p>
        </w:tc>
        <w:tc>
          <w:tcPr>
            <w:tcW w:type="dxa" w:w="5760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数据库账号</w:t>
            </w:r>
          </w:p>
        </w:tc>
      </w:tr>
      <w:tr>
        <w:tc>
          <w:tcPr>
            <w:tcW w:type="dxa" w:w="345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DB_PASSWORD</w:t>
            </w:r>
          </w:p>
        </w:tc>
        <w:tc>
          <w:tcPr>
            <w:tcW w:type="dxa" w:w="576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数据库密码</w:t>
            </w:r>
          </w:p>
        </w:tc>
      </w:tr>
      <w:tr>
        <w:tc>
          <w:tcPr>
            <w:tcW w:type="dxa" w:w="3456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REDIS_HOST</w:t>
            </w:r>
          </w:p>
        </w:tc>
        <w:tc>
          <w:tcPr>
            <w:tcW w:type="dxa" w:w="5760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Redis 地址</w:t>
            </w:r>
          </w:p>
        </w:tc>
      </w:tr>
      <w:tr>
        <w:tc>
          <w:tcPr>
            <w:tcW w:type="dxa" w:w="345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REDIS_PORT</w:t>
            </w:r>
          </w:p>
        </w:tc>
        <w:tc>
          <w:tcPr>
            <w:tcW w:type="dxa" w:w="576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Redis 端口</w:t>
            </w:r>
          </w:p>
        </w:tc>
      </w:tr>
      <w:tr>
        <w:tc>
          <w:tcPr>
            <w:tcW w:type="dxa" w:w="3456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JWT_SECRET</w:t>
            </w:r>
          </w:p>
        </w:tc>
        <w:tc>
          <w:tcPr>
            <w:tcW w:type="dxa" w:w="5760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JWT 密钥</w:t>
            </w:r>
          </w:p>
        </w:tc>
      </w:tr>
      <w:tr>
        <w:tc>
          <w:tcPr>
            <w:tcW w:type="dxa" w:w="345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FEISHU_APP_ID</w:t>
            </w:r>
          </w:p>
        </w:tc>
        <w:tc>
          <w:tcPr>
            <w:tcW w:type="dxa" w:w="576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飞书应用 ID</w:t>
            </w:r>
          </w:p>
        </w:tc>
      </w:tr>
      <w:tr>
        <w:tc>
          <w:tcPr>
            <w:tcW w:type="dxa" w:w="3456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FEISHU_APP_SECRET</w:t>
            </w:r>
          </w:p>
        </w:tc>
        <w:tc>
          <w:tcPr>
            <w:tcW w:type="dxa" w:w="5760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飞书密钥</w:t>
            </w:r>
          </w:p>
        </w:tc>
      </w:tr>
      <w:tr>
        <w:tc>
          <w:tcPr>
            <w:tcW w:type="dxa" w:w="345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AI_API_URL</w:t>
            </w:r>
          </w:p>
        </w:tc>
        <w:tc>
          <w:tcPr>
            <w:tcW w:type="dxa" w:w="576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AI 接口地址</w:t>
            </w:r>
          </w:p>
        </w:tc>
      </w:tr>
      <w:tr>
        <w:tc>
          <w:tcPr>
            <w:tcW w:type="dxa" w:w="3456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AI_API_KEY</w:t>
            </w:r>
          </w:p>
        </w:tc>
        <w:tc>
          <w:tcPr>
            <w:tcW w:type="dxa" w:w="5760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AI 接口密钥</w:t>
            </w:r>
          </w:p>
        </w:tc>
      </w:tr>
    </w:tbl>
    <w:p>
      <w:pPr>
        <w:spacing w:after="0"/>
        <w:widowControl w:val="1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FF2CC"/>
            <w:tcMar>
              <w:top w:w="120" w:type="dxa"/>
              <w:start w:w="140" w:type="dxa"/>
              <w:bottom w:w="120" w:type="dxa"/>
              <w:end w:w="140" w:type="dxa"/>
            </w:tcMar>
            <w:tcBorders>
              <w:top w:val="single" w:sz="8" w:space="0" w:color="D6B656"/>
              <w:left w:val="single" w:sz="8" w:space="0" w:color="D6B656"/>
              <w:bottom w:val="single" w:sz="8" w:space="0" w:color="D6B656"/>
              <w:right w:val="single" w:sz="8" w:space="0" w:color="D6B656"/>
            </w:tcBorders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7F6000"/>
                <w:sz w:val="20"/>
              </w:rPr>
              <w:t>安全建议：</w:t>
            </w:r>
            <w:r>
              <w:rPr>
                <w:rFonts w:ascii="Noto Sans CJK SC" w:hAnsi="Noto Sans CJK SC" w:eastAsia="Noto Sans CJK SC"/>
                <w:sz w:val="20"/>
              </w:rPr>
              <w:t>所有密钥均通过环境变量或密钥管理系统保存，不写入源码仓库。</w:t>
            </w:r>
          </w:p>
        </w:tc>
      </w:tr>
    </w:tbl>
    <w:p>
      <w:pPr>
        <w:spacing w:after="0"/>
        <w:widowControl w:val="1"/>
      </w:pPr>
    </w:p>
    <w:p>
      <w:pPr>
        <w:pStyle w:val="Heading1"/>
        <w:keepNext/>
        <w:pageBreakBefore/>
        <w:widowControl w:val="1"/>
      </w:pPr>
      <w:r>
        <w:t>第五章 数据库初始化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部署步骤：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1. </w:t>
      </w:r>
      <w:r>
        <w:rPr>
          <w:rFonts w:ascii="Noto Sans CJK SC" w:hAnsi="Noto Sans CJK SC" w:eastAsia="Noto Sans CJK SC"/>
          <w:sz w:val="21"/>
        </w:rPr>
        <w:t>创建数据库。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2. </w:t>
      </w:r>
      <w:r>
        <w:rPr>
          <w:rFonts w:ascii="Noto Sans CJK SC" w:hAnsi="Noto Sans CJK SC" w:eastAsia="Noto Sans CJK SC"/>
          <w:sz w:val="21"/>
        </w:rPr>
        <w:t>执行建表 SQL。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3. </w:t>
      </w:r>
      <w:r>
        <w:rPr>
          <w:rFonts w:ascii="Noto Sans CJK SC" w:hAnsi="Noto Sans CJK SC" w:eastAsia="Noto Sans CJK SC"/>
          <w:sz w:val="21"/>
        </w:rPr>
        <w:t>初始化基础数据。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4. </w:t>
      </w:r>
      <w:r>
        <w:rPr>
          <w:rFonts w:ascii="Noto Sans CJK SC" w:hAnsi="Noto Sans CJK SC" w:eastAsia="Noto Sans CJK SC"/>
          <w:sz w:val="21"/>
        </w:rPr>
        <w:t>创建超级管理员。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5. </w:t>
      </w:r>
      <w:r>
        <w:rPr>
          <w:rFonts w:ascii="Noto Sans CJK SC" w:hAnsi="Noto Sans CJK SC" w:eastAsia="Noto Sans CJK SC"/>
          <w:sz w:val="21"/>
        </w:rPr>
        <w:t>验证连接。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初始化内容包括：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管理员角色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超级管理员账号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默认 Prompt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默认系统配置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默认模型配置</w:t>
      </w:r>
    </w:p>
    <w:p>
      <w:pPr>
        <w:pStyle w:val="Heading1"/>
        <w:keepNext/>
        <w:pageBreakBefore/>
        <w:widowControl w:val="1"/>
      </w:pPr>
      <w:r>
        <w:t>第六章 Redis 使用说明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Redis 用于：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登录验证码缓存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Token 黑名单（如采用）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高频配置缓存（可选）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建议：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开启持久化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设置合理内存上限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定期监控命中率</w:t>
      </w:r>
    </w:p>
    <w:p>
      <w:pPr>
        <w:pStyle w:val="Heading1"/>
        <w:keepNext/>
        <w:pageBreakBefore/>
        <w:widowControl w:val="1"/>
      </w:pPr>
      <w:r>
        <w:t>第七章 Nginx 配置建议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建议开启：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HTTPS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HTTP/2（如适用）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Gzip 压缩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SSE 长连接支持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静态资源缓存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反向代理：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9"/>
        <w:gridCol w:w="4939"/>
      </w:tblGrid>
      <w:tr>
        <w:trPr>
          <w:tblHeader w:val="true"/>
        </w:trPr>
        <w:tc>
          <w:tcPr>
            <w:tcW w:type="dxa" w:w="3456"/>
            <w:shd w:fill="1F4E7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访问路径</w:t>
            </w:r>
          </w:p>
        </w:tc>
        <w:tc>
          <w:tcPr>
            <w:tcW w:type="dxa" w:w="5760"/>
            <w:shd w:fill="1F4E7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代理目标</w:t>
            </w:r>
          </w:p>
        </w:tc>
      </w:tr>
      <w:tr>
        <w:tc>
          <w:tcPr>
            <w:tcW w:type="dxa" w:w="345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/api/*</w:t>
            </w:r>
          </w:p>
        </w:tc>
        <w:tc>
          <w:tcPr>
            <w:tcW w:type="dxa" w:w="576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Backend</w:t>
            </w:r>
          </w:p>
        </w:tc>
      </w:tr>
      <w:tr>
        <w:tc>
          <w:tcPr>
            <w:tcW w:type="dxa" w:w="3456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/admin/*</w:t>
            </w:r>
          </w:p>
        </w:tc>
        <w:tc>
          <w:tcPr>
            <w:tcW w:type="dxa" w:w="5760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管理后台</w:t>
            </w:r>
          </w:p>
        </w:tc>
      </w:tr>
      <w:tr>
        <w:tc>
          <w:tcPr>
            <w:tcW w:type="dxa" w:w="345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/</w:t>
            </w:r>
          </w:p>
        </w:tc>
        <w:tc>
          <w:tcPr>
            <w:tcW w:type="dxa" w:w="576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用户端</w:t>
            </w:r>
          </w:p>
        </w:tc>
      </w:tr>
    </w:tbl>
    <w:p>
      <w:pPr>
        <w:spacing w:after="0"/>
        <w:widowControl w:val="1"/>
      </w:pPr>
    </w:p>
    <w:p>
      <w:pPr>
        <w:pStyle w:val="Heading1"/>
        <w:keepNext/>
        <w:pageBreakBefore/>
        <w:widowControl w:val="1"/>
      </w:pPr>
      <w:r>
        <w:t>第八章 AI 服务配置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启动前检查：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AI API Key 正确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飞书配置正确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Prompt 已初始化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默认模型已启用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启动后验证：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AI 可正常调用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飞书可正常检索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SSE 流式输出正常</w:t>
      </w:r>
    </w:p>
    <w:p>
      <w:pPr>
        <w:pStyle w:val="Heading1"/>
        <w:keepNext/>
        <w:pageBreakBefore/>
        <w:widowControl w:val="1"/>
      </w:pPr>
      <w:r>
        <w:t>第九章 上线流程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建议流程：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432"/>
            <w:shd w:fill="F6F8FA"/>
            <w:tcMar>
              <w:top w:w="140" w:type="dxa"/>
              <w:start w:w="160" w:type="dxa"/>
              <w:bottom w:w="140" w:type="dxa"/>
              <w:end w:w="160" w:type="dxa"/>
            </w:tcMar>
            <w:tcBorders>
              <w:top w:val="single" w:sz="6" w:space="0" w:color="C9D2DC"/>
              <w:left w:val="single" w:sz="6" w:space="0" w:color="C9D2DC"/>
              <w:bottom w:val="single" w:sz="6" w:space="0" w:color="C9D2DC"/>
              <w:right w:val="single" w:sz="6" w:space="0" w:color="C9D2DC"/>
            </w:tcBorders>
          </w:tcPr>
          <w:p>
            <w:pPr>
              <w:spacing w:after="0" w:line="240" w:lineRule="auto"/>
            </w:pPr>
            <w:r>
              <w:rPr>
                <w:rFonts w:ascii="Noto Sans Mono CJK SC" w:hAnsi="Noto Sans Mono CJK SC" w:eastAsia="Noto Sans Mono CJK SC"/>
                <w:sz w:val="18"/>
              </w:rPr>
              <w:t>代码发布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>数据库升级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>配置环境变量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>启动 Redis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>启动 MySQL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>启动 Backend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>启动 AI Service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>启动 Nginx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>功能验证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 xml:space="preserve">    │</w:t>
            </w:r>
            <w:r>
              <w:br/>
            </w:r>
            <w:r>
              <w:rPr>
                <w:rFonts w:ascii="Noto Sans Mono CJK SC" w:hAnsi="Noto Sans Mono CJK SC" w:eastAsia="Noto Sans Mono CJK SC"/>
                <w:sz w:val="18"/>
              </w:rPr>
              <w:t>正式开放访问</w:t>
            </w:r>
          </w:p>
        </w:tc>
      </w:tr>
    </w:tbl>
    <w:p>
      <w:pPr>
        <w:spacing w:after="0"/>
        <w:widowControl w:val="1"/>
      </w:pP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上线验证重点：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登录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AI 聊天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飞书检索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后台管理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权限控制</w:t>
      </w:r>
    </w:p>
    <w:p>
      <w:pPr>
        <w:pStyle w:val="Heading1"/>
        <w:keepNext/>
        <w:pageBreakBefore/>
        <w:widowControl w:val="1"/>
      </w:pPr>
      <w:r>
        <w:t>第十章 日志管理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建议分类：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9"/>
        <w:gridCol w:w="4939"/>
      </w:tblGrid>
      <w:tr>
        <w:trPr>
          <w:tblHeader w:val="true"/>
        </w:trPr>
        <w:tc>
          <w:tcPr>
            <w:tcW w:type="dxa" w:w="2880"/>
            <w:shd w:fill="1F4E7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日志类型</w:t>
            </w:r>
          </w:p>
        </w:tc>
        <w:tc>
          <w:tcPr>
            <w:tcW w:type="dxa" w:w="6336"/>
            <w:shd w:fill="1F4E7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内容</w:t>
            </w:r>
          </w:p>
        </w:tc>
      </w:tr>
      <w:tr>
        <w:tc>
          <w:tcPr>
            <w:tcW w:type="dxa" w:w="288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应用日志</w:t>
            </w:r>
          </w:p>
        </w:tc>
        <w:tc>
          <w:tcPr>
            <w:tcW w:type="dxa" w:w="633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系统运行日志</w:t>
            </w:r>
          </w:p>
        </w:tc>
      </w:tr>
      <w:tr>
        <w:tc>
          <w:tcPr>
            <w:tcW w:type="dxa" w:w="2880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AI 日志</w:t>
            </w:r>
          </w:p>
        </w:tc>
        <w:tc>
          <w:tcPr>
            <w:tcW w:type="dxa" w:w="6336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AI 请求与响应</w:t>
            </w:r>
          </w:p>
        </w:tc>
      </w:tr>
      <w:tr>
        <w:tc>
          <w:tcPr>
            <w:tcW w:type="dxa" w:w="288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操作日志</w:t>
            </w:r>
          </w:p>
        </w:tc>
        <w:tc>
          <w:tcPr>
            <w:tcW w:type="dxa" w:w="633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后台管理员操作</w:t>
            </w:r>
          </w:p>
        </w:tc>
      </w:tr>
      <w:tr>
        <w:tc>
          <w:tcPr>
            <w:tcW w:type="dxa" w:w="2880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登录日志</w:t>
            </w:r>
          </w:p>
        </w:tc>
        <w:tc>
          <w:tcPr>
            <w:tcW w:type="dxa" w:w="6336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登录记录</w:t>
            </w:r>
          </w:p>
        </w:tc>
      </w:tr>
      <w:tr>
        <w:tc>
          <w:tcPr>
            <w:tcW w:type="dxa" w:w="2880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错误日志</w:t>
            </w:r>
          </w:p>
        </w:tc>
        <w:tc>
          <w:tcPr>
            <w:tcW w:type="dxa" w:w="6336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异常与堆栈信息</w:t>
            </w:r>
          </w:p>
        </w:tc>
      </w:tr>
    </w:tbl>
    <w:p>
      <w:pPr>
        <w:spacing w:after="0"/>
        <w:widowControl w:val="1"/>
      </w:pP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建议：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日志按天滚动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保留周期可配置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重要日志集中采集（如 ELK、Loki 等）</w:t>
      </w:r>
    </w:p>
    <w:p>
      <w:pPr>
        <w:pStyle w:val="Heading1"/>
        <w:keepNext/>
        <w:pageBreakBefore/>
        <w:widowControl w:val="1"/>
      </w:pPr>
      <w:r>
        <w:t>第十一章 数据备份</w:t>
      </w:r>
    </w:p>
    <w:p>
      <w:pPr>
        <w:pStyle w:val="Heading2"/>
        <w:keepNext/>
        <w:pageBreakBefore w:val="0"/>
        <w:widowControl w:val="1"/>
      </w:pPr>
      <w:r>
        <w:t>11.1 数据库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建议：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每日增量备份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每周完整备份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异地备份（如有条件）</w:t>
      </w:r>
    </w:p>
    <w:p>
      <w:pPr>
        <w:pStyle w:val="Heading2"/>
        <w:keepNext/>
        <w:pageBreakBefore w:val="0"/>
        <w:widowControl w:val="1"/>
      </w:pPr>
      <w:r>
        <w:t>11.2 配置文件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备份：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环境变量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Nginx 配置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系统配置</w:t>
      </w:r>
    </w:p>
    <w:p>
      <w:pPr>
        <w:pStyle w:val="Heading1"/>
        <w:keepNext/>
        <w:pageBreakBefore/>
        <w:widowControl w:val="1"/>
      </w:pPr>
      <w:r>
        <w:t>第十二章 系统监控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建议监控：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9"/>
        <w:gridCol w:w="4939"/>
      </w:tblGrid>
      <w:tr>
        <w:trPr>
          <w:tblHeader w:val="true"/>
        </w:trPr>
        <w:tc>
          <w:tcPr>
            <w:tcW w:type="dxa" w:w="3744"/>
            <w:shd w:fill="1F4E7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指标</w:t>
            </w:r>
          </w:p>
        </w:tc>
        <w:tc>
          <w:tcPr>
            <w:tcW w:type="dxa" w:w="5472"/>
            <w:shd w:fill="1F4E7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建议</w:t>
            </w:r>
          </w:p>
        </w:tc>
      </w:tr>
      <w:tr>
        <w:tc>
          <w:tcPr>
            <w:tcW w:type="dxa" w:w="3744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CPU 使用率</w:t>
            </w:r>
          </w:p>
        </w:tc>
        <w:tc>
          <w:tcPr>
            <w:tcW w:type="dxa" w:w="5472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&lt;80%</w:t>
            </w:r>
          </w:p>
        </w:tc>
      </w:tr>
      <w:tr>
        <w:tc>
          <w:tcPr>
            <w:tcW w:type="dxa" w:w="3744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内存使用率</w:t>
            </w:r>
          </w:p>
        </w:tc>
        <w:tc>
          <w:tcPr>
            <w:tcW w:type="dxa" w:w="5472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&lt;80%</w:t>
            </w:r>
          </w:p>
        </w:tc>
      </w:tr>
      <w:tr>
        <w:tc>
          <w:tcPr>
            <w:tcW w:type="dxa" w:w="3744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MySQL 连接数</w:t>
            </w:r>
          </w:p>
        </w:tc>
        <w:tc>
          <w:tcPr>
            <w:tcW w:type="dxa" w:w="5472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持续监控</w:t>
            </w:r>
          </w:p>
        </w:tc>
      </w:tr>
      <w:tr>
        <w:tc>
          <w:tcPr>
            <w:tcW w:type="dxa" w:w="3744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Redis 内存</w:t>
            </w:r>
          </w:p>
        </w:tc>
        <w:tc>
          <w:tcPr>
            <w:tcW w:type="dxa" w:w="5472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持续监控</w:t>
            </w:r>
          </w:p>
        </w:tc>
      </w:tr>
      <w:tr>
        <w:tc>
          <w:tcPr>
            <w:tcW w:type="dxa" w:w="3744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AI 请求耗时</w:t>
            </w:r>
          </w:p>
        </w:tc>
        <w:tc>
          <w:tcPr>
            <w:tcW w:type="dxa" w:w="5472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持续监控</w:t>
            </w:r>
          </w:p>
        </w:tc>
      </w:tr>
      <w:tr>
        <w:tc>
          <w:tcPr>
            <w:tcW w:type="dxa" w:w="3744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sz w:val="18"/>
              </w:rPr>
              <w:t>飞书接口异常率</w:t>
            </w:r>
          </w:p>
        </w:tc>
        <w:tc>
          <w:tcPr>
            <w:tcW w:type="dxa" w:w="5472"/>
            <w:shd w:fill="F4F7FA"/>
            <w:tcMar>
              <w:top w:w="85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sz w:val="18"/>
              </w:rPr>
              <w:t>持续监控</w:t>
            </w:r>
          </w:p>
        </w:tc>
      </w:tr>
    </w:tbl>
    <w:p>
      <w:pPr>
        <w:spacing w:after="0"/>
        <w:widowControl w:val="1"/>
      </w:pP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告警建议：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服务不可用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AI 超时率异常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数据库连接异常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Redis 不可用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HTTPS 证书即将过期</w:t>
      </w:r>
    </w:p>
    <w:p>
      <w:pPr>
        <w:pStyle w:val="Heading1"/>
        <w:keepNext/>
        <w:pageBreakBefore/>
        <w:widowControl w:val="1"/>
      </w:pPr>
      <w:r>
        <w:t>第十三章 故障处理</w:t>
      </w:r>
    </w:p>
    <w:p>
      <w:pPr>
        <w:pStyle w:val="Heading2"/>
        <w:keepNext/>
        <w:pageBreakBefore w:val="0"/>
        <w:widowControl w:val="1"/>
      </w:pPr>
      <w:r>
        <w:t>13.1 飞书不可用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处理：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1. </w:t>
      </w:r>
      <w:r>
        <w:rPr>
          <w:rFonts w:ascii="Noto Sans CJK SC" w:hAnsi="Noto Sans CJK SC" w:eastAsia="Noto Sans CJK SC"/>
          <w:sz w:val="21"/>
        </w:rPr>
        <w:t>检查飞书接口状态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2. </w:t>
      </w:r>
      <w:r>
        <w:rPr>
          <w:rFonts w:ascii="Noto Sans CJK SC" w:hAnsi="Noto Sans CJK SC" w:eastAsia="Noto Sans CJK SC"/>
          <w:sz w:val="21"/>
        </w:rPr>
        <w:t>检查 App 凭证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3. </w:t>
      </w:r>
      <w:r>
        <w:rPr>
          <w:rFonts w:ascii="Noto Sans CJK SC" w:hAnsi="Noto Sans CJK SC" w:eastAsia="Noto Sans CJK SC"/>
          <w:sz w:val="21"/>
        </w:rPr>
        <w:t>查看 AI 请求日志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4. </w:t>
      </w:r>
      <w:r>
        <w:rPr>
          <w:rFonts w:ascii="Noto Sans CJK SC" w:hAnsi="Noto Sans CJK SC" w:eastAsia="Noto Sans CJK SC"/>
          <w:sz w:val="21"/>
        </w:rPr>
        <w:t>重试验证</w:t>
      </w:r>
    </w:p>
    <w:p>
      <w:pPr>
        <w:pStyle w:val="Heading2"/>
        <w:keepNext/>
        <w:pageBreakBefore w:val="0"/>
        <w:widowControl w:val="1"/>
      </w:pPr>
      <w:r>
        <w:t>13.2 AI 模型不可用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处理：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1. </w:t>
      </w:r>
      <w:r>
        <w:rPr>
          <w:rFonts w:ascii="Noto Sans CJK SC" w:hAnsi="Noto Sans CJK SC" w:eastAsia="Noto Sans CJK SC"/>
          <w:sz w:val="21"/>
        </w:rPr>
        <w:t>检查 API Key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2. </w:t>
      </w:r>
      <w:r>
        <w:rPr>
          <w:rFonts w:ascii="Noto Sans CJK SC" w:hAnsi="Noto Sans CJK SC" w:eastAsia="Noto Sans CJK SC"/>
          <w:sz w:val="21"/>
        </w:rPr>
        <w:t>检查模型配置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3. </w:t>
      </w:r>
      <w:r>
        <w:rPr>
          <w:rFonts w:ascii="Noto Sans CJK SC" w:hAnsi="Noto Sans CJK SC" w:eastAsia="Noto Sans CJK SC"/>
          <w:sz w:val="21"/>
        </w:rPr>
        <w:t>查看请求日志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4. </w:t>
      </w:r>
      <w:r>
        <w:rPr>
          <w:rFonts w:ascii="Noto Sans CJK SC" w:hAnsi="Noto Sans CJK SC" w:eastAsia="Noto Sans CJK SC"/>
          <w:sz w:val="21"/>
        </w:rPr>
        <w:t>必要时切换备用模型（如后续版本支持）</w:t>
      </w:r>
    </w:p>
    <w:p>
      <w:pPr>
        <w:pStyle w:val="Heading2"/>
        <w:keepNext/>
        <w:pageBreakBefore w:val="0"/>
        <w:widowControl w:val="1"/>
      </w:pPr>
      <w:r>
        <w:t>13.3 数据库异常</w:t>
      </w:r>
    </w:p>
    <w:p>
      <w:pPr>
        <w:keepNext/>
        <w:spacing w:before="60" w:after="60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>处理：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1. </w:t>
      </w:r>
      <w:r>
        <w:rPr>
          <w:rFonts w:ascii="Noto Sans CJK SC" w:hAnsi="Noto Sans CJK SC" w:eastAsia="Noto Sans CJK SC"/>
          <w:sz w:val="21"/>
        </w:rPr>
        <w:t>检查数据库状态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2. </w:t>
      </w:r>
      <w:r>
        <w:rPr>
          <w:rFonts w:ascii="Noto Sans CJK SC" w:hAnsi="Noto Sans CJK SC" w:eastAsia="Noto Sans CJK SC"/>
          <w:sz w:val="21"/>
        </w:rPr>
        <w:t>查看慢 SQL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3. </w:t>
      </w:r>
      <w:r>
        <w:rPr>
          <w:rFonts w:ascii="Noto Sans CJK SC" w:hAnsi="Noto Sans CJK SC" w:eastAsia="Noto Sans CJK SC"/>
          <w:sz w:val="21"/>
        </w:rPr>
        <w:t>检查磁盘空间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4. </w:t>
      </w:r>
      <w:r>
        <w:rPr>
          <w:rFonts w:ascii="Noto Sans CJK SC" w:hAnsi="Noto Sans CJK SC" w:eastAsia="Noto Sans CJK SC"/>
          <w:sz w:val="21"/>
        </w:rPr>
        <w:t>恢复备份（必要时）</w:t>
      </w:r>
    </w:p>
    <w:p>
      <w:pPr>
        <w:pStyle w:val="Heading1"/>
        <w:keepNext/>
        <w:pageBreakBefore/>
        <w:widowControl w:val="1"/>
      </w:pPr>
      <w:r>
        <w:t>第十四章 回滚方案</w:t>
      </w:r>
    </w:p>
    <w:p>
      <w:pPr>
        <w:spacing w:after="100" w:line="348" w:lineRule="auto"/>
        <w:ind w:firstLine="403"/>
        <w:widowControl w:val="1"/>
      </w:pPr>
      <w:r>
        <w:rPr>
          <w:rFonts w:ascii="Noto Sans CJK SC" w:hAnsi="Noto Sans CJK SC" w:eastAsia="Noto Sans CJK SC"/>
          <w:sz w:val="21"/>
        </w:rPr>
        <w:t>发生重大故障时：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1. </w:t>
      </w:r>
      <w:r>
        <w:rPr>
          <w:rFonts w:ascii="Noto Sans CJK SC" w:hAnsi="Noto Sans CJK SC" w:eastAsia="Noto Sans CJK SC"/>
          <w:sz w:val="21"/>
        </w:rPr>
        <w:t>停止新版本服务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2. </w:t>
      </w:r>
      <w:r>
        <w:rPr>
          <w:rFonts w:ascii="Noto Sans CJK SC" w:hAnsi="Noto Sans CJK SC" w:eastAsia="Noto Sans CJK SC"/>
          <w:sz w:val="21"/>
        </w:rPr>
        <w:t>恢复上一版本程序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3. </w:t>
      </w:r>
      <w:r>
        <w:rPr>
          <w:rFonts w:ascii="Noto Sans CJK SC" w:hAnsi="Noto Sans CJK SC" w:eastAsia="Noto Sans CJK SC"/>
          <w:sz w:val="21"/>
        </w:rPr>
        <w:t>恢复数据库（如涉及数据结构变更）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4. </w:t>
      </w:r>
      <w:r>
        <w:rPr>
          <w:rFonts w:ascii="Noto Sans CJK SC" w:hAnsi="Noto Sans CJK SC" w:eastAsia="Noto Sans CJK SC"/>
          <w:sz w:val="21"/>
        </w:rPr>
        <w:t>验证核心功能</w:t>
      </w:r>
    </w:p>
    <w:p>
      <w:pPr>
        <w:spacing w:after="60"/>
        <w:ind w:left="403" w:hanging="288"/>
        <w:widowControl w:val="1"/>
      </w:pPr>
      <w:r>
        <w:rPr>
          <w:rFonts w:ascii="Noto Sans CJK SC" w:hAnsi="Noto Sans CJK SC" w:eastAsia="Noto Sans CJK SC"/>
          <w:b/>
          <w:color w:val="1F4E79"/>
          <w:sz w:val="21"/>
        </w:rPr>
        <w:t xml:space="preserve">5. </w:t>
      </w:r>
      <w:r>
        <w:rPr>
          <w:rFonts w:ascii="Noto Sans CJK SC" w:hAnsi="Noto Sans CJK SC" w:eastAsia="Noto Sans CJK SC"/>
          <w:sz w:val="21"/>
        </w:rPr>
        <w:t>恢复对外服务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2F0D9"/>
            <w:tcMar>
              <w:top w:w="120" w:type="dxa"/>
              <w:start w:w="140" w:type="dxa"/>
              <w:bottom w:w="120" w:type="dxa"/>
              <w:end w:w="140" w:type="dxa"/>
            </w:tcMar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385723"/>
                <w:sz w:val="20"/>
              </w:rPr>
              <w:t>发布要求：</w:t>
            </w:r>
            <w:r>
              <w:rPr>
                <w:rFonts w:ascii="Noto Sans CJK SC" w:hAnsi="Noto Sans CJK SC" w:eastAsia="Noto Sans CJK SC"/>
                <w:sz w:val="20"/>
              </w:rPr>
              <w:t>所有发布建议保留可回滚版本。</w:t>
            </w:r>
          </w:p>
        </w:tc>
      </w:tr>
    </w:tbl>
    <w:p>
      <w:pPr>
        <w:spacing w:after="0"/>
        <w:widowControl w:val="1"/>
      </w:pPr>
    </w:p>
    <w:p>
      <w:pPr>
        <w:pStyle w:val="Heading1"/>
        <w:keepNext/>
        <w:pageBreakBefore/>
        <w:widowControl w:val="1"/>
      </w:pPr>
      <w:r>
        <w:t>第十五章 运维检查清单</w:t>
      </w:r>
    </w:p>
    <w:p>
      <w:pPr>
        <w:pStyle w:val="Heading2"/>
        <w:keepNext/>
        <w:pageBreakBefore w:val="0"/>
        <w:widowControl w:val="1"/>
      </w:pPr>
      <w:r>
        <w:t>15.1 每日检查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☑ 服务运行状态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☑ AI 请求成功率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☑ 飞书接口状态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☑ 数据库运行状态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☑ Redis 状态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☑ 日志是否正常</w:t>
      </w:r>
    </w:p>
    <w:p>
      <w:pPr>
        <w:pStyle w:val="Heading2"/>
        <w:keepNext/>
        <w:pageBreakBefore w:val="0"/>
        <w:widowControl w:val="1"/>
      </w:pPr>
      <w:r>
        <w:t>15.2 每周检查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☑ 数据备份验证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☑ 磁盘空间检查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☑ SSL 证书检查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☑ 系统安全更新评估</w:t>
      </w:r>
    </w:p>
    <w:p>
      <w:pPr>
        <w:pStyle w:val="Heading1"/>
        <w:keepNext/>
        <w:pageBreakBefore/>
        <w:widowControl w:val="1"/>
      </w:pPr>
      <w:r>
        <w:t>《部署运维手册》V1.0 完成</w:t>
      </w:r>
    </w:p>
    <w:p>
      <w:pPr>
        <w:spacing w:after="100" w:line="348" w:lineRule="auto"/>
        <w:ind w:firstLine="403"/>
        <w:widowControl w:val="1"/>
      </w:pPr>
      <w:r>
        <w:rPr>
          <w:rFonts w:ascii="Noto Sans CJK SC" w:hAnsi="Noto Sans CJK SC" w:eastAsia="Noto Sans CJK SC"/>
          <w:sz w:val="21"/>
        </w:rPr>
        <w:t>本手册覆盖了：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系统部署架构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环境配置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数据库初始化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Redis 与 Nginx 配置建议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AI 服务部署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上线流程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日志管理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数据备份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系统监控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故障处理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回滚方案</w:t>
      </w:r>
    </w:p>
    <w:p>
      <w:pPr>
        <w:pStyle w:val="ListBullet"/>
        <w:spacing w:after="40"/>
        <w:ind w:left="216" w:hanging="173"/>
        <w:widowControl w:val="1"/>
      </w:pPr>
      <w:r>
        <w:rPr>
          <w:rFonts w:ascii="Noto Sans CJK SC" w:hAnsi="Noto Sans CJK SC" w:eastAsia="Noto Sans CJK SC"/>
          <w:sz w:val="21"/>
        </w:rPr>
        <w:t>运维巡检清单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181" w:bottom="979" w:left="1181" w:header="432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/>
        <w:color w:val="787878"/>
        <w:sz w:val="17"/>
      </w:rPr>
      <w:t xml:space="preserve">第 </w:t>
    </w:r>
    <w:r>
      <w:rPr>
        <w:rFonts w:ascii="Noto Sans CJK SC" w:hAnsi="Noto Sans CJK SC" w:eastAsia="Noto Sans CJK SC"/>
        <w:color w:val="787878"/>
        <w:sz w:val="17"/>
      </w:rPr>
      <w:fldChar w:fldCharType="begin"/>
      <w:instrText xml:space="preserve"> PAGE </w:instrText>
      <w:fldChar w:fldCharType="end"/>
    </w:r>
    <w:r>
      <w:rPr>
        <w:rFonts w:ascii="Noto Sans CJK SC" w:hAnsi="Noto Sans CJK SC" w:eastAsia="Noto Sans CJK SC"/>
        <w:color w:val="787878"/>
        <w:sz w:val="17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Noto Sans CJK SC" w:hAnsi="Noto Sans CJK SC" w:eastAsia="Noto Sans CJK SC"/>
        <w:color w:val="787878"/>
        <w:sz w:val="17"/>
      </w:rPr>
      <w:t>AI 企业知识库问答系统｜部署运维手册 V1.0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48" w:lineRule="auto"/>
    </w:pPr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6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0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E74B5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8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00" w:line="240" w:lineRule="auto" w:before="0"/>
      <w:contextualSpacing/>
    </w:pPr>
    <w:rPr>
      <w:rFonts w:asciiTheme="majorHAnsi" w:eastAsiaTheme="majorEastAsia" w:hAnsiTheme="majorHAnsi" w:cstheme="majorBidi" w:ascii="Noto Sans CJK SC" w:hAnsi="Noto Sans CJK SC" w:eastAsia="Noto Sans CJK SC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120"/>
    </w:pPr>
    <w:rPr>
      <w:rFonts w:asciiTheme="majorHAnsi" w:eastAsiaTheme="majorEastAsia" w:hAnsiTheme="majorHAnsi" w:cstheme="majorBidi" w:ascii="Noto Sans CJK SC" w:hAnsi="Noto Sans CJK SC" w:eastAsia="Noto Sans CJK SC"/>
      <w:b w:val="0"/>
      <w:i/>
      <w:iCs/>
      <w:color w:val="595959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Note">
    <w:name w:val="Doc Note"/>
    <w:pPr>
      <w:spacing w:after="60"/>
    </w:pPr>
    <w:rPr>
      <w:rFonts w:ascii="Noto Sans CJK SC" w:hAnsi="Noto Sans CJK SC" w:eastAsia="Noto Sans CJK SC"/>
      <w:color w:val="646464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10-AI知识库系统部署运维手册（Deployment &amp; Operations Guide）</dc:title>
  <dc:subject>AI 企业知识库问答系统部署、上线与运维指南</dc:subject>
  <dc:creator>AI 企业知识库问答系统项目组</dc:creator>
  <cp:keywords>AI知识库, 部署, 运维, Nginx, MySQL, Redis, 飞书, AI模型</cp:keywords>
  <dc:description>V1.0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